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2882B" w14:textId="77777777" w:rsidR="00E02F32" w:rsidRPr="00E02F32" w:rsidRDefault="00E02F32" w:rsidP="00E02F32">
      <w:pPr>
        <w:pStyle w:val="Heading1"/>
        <w:jc w:val="center"/>
        <w:rPr>
          <w:sz w:val="48"/>
        </w:rPr>
      </w:pPr>
      <w:r w:rsidRPr="00E02F32">
        <w:rPr>
          <w:sz w:val="44"/>
          <w:szCs w:val="28"/>
        </w:rPr>
        <w:t>IAR SNAPSHOT – Older Adults</w:t>
      </w:r>
    </w:p>
    <w:p w14:paraId="155E92B8" w14:textId="77777777" w:rsidR="00E02F32" w:rsidRDefault="00E02F32" w:rsidP="00E02F32">
      <w:r w:rsidRPr="009D0624">
        <w:t xml:space="preserve">The IAR </w:t>
      </w:r>
      <w:r>
        <w:t>Guidance and Decision Support Tool are designed to assist general practitioners and clinicians in recommending</w:t>
      </w:r>
      <w:r w:rsidRPr="009D0624">
        <w:t xml:space="preserve"> the most appropriate level of care for</w:t>
      </w:r>
      <w:r>
        <w:t xml:space="preserve"> </w:t>
      </w:r>
      <w:r w:rsidRPr="009D0624">
        <w:t>a</w:t>
      </w:r>
      <w:r>
        <w:t xml:space="preserve">n older adult </w:t>
      </w:r>
      <w:r w:rsidRPr="009D0624">
        <w:t xml:space="preserve">seeking </w:t>
      </w:r>
      <w:r>
        <w:t xml:space="preserve">or requiring </w:t>
      </w:r>
      <w:r w:rsidRPr="009D0624">
        <w:t xml:space="preserve">mental health support. The IAR is an initiative of the Australian </w:t>
      </w:r>
      <w:r>
        <w:t xml:space="preserve">Government </w:t>
      </w:r>
      <w:r w:rsidRPr="009D0624">
        <w:t>Department of Health</w:t>
      </w:r>
      <w:r>
        <w:t>. It</w:t>
      </w:r>
      <w:r w:rsidRPr="009D0624">
        <w:t xml:space="preserve"> brings</w:t>
      </w:r>
      <w:r>
        <w:t xml:space="preserve"> </w:t>
      </w:r>
      <w:r w:rsidRPr="009D0624">
        <w:t xml:space="preserve">together information from </w:t>
      </w:r>
      <w:r>
        <w:t>various</w:t>
      </w:r>
      <w:r w:rsidRPr="009D0624">
        <w:t xml:space="preserve"> sources</w:t>
      </w:r>
      <w:r>
        <w:t>,</w:t>
      </w:r>
      <w:r w:rsidRPr="009D0624">
        <w:t xml:space="preserve"> including Australian and international evidence and advice from a</w:t>
      </w:r>
      <w:r>
        <w:t xml:space="preserve"> </w:t>
      </w:r>
      <w:r w:rsidRPr="009D0624">
        <w:t xml:space="preserve">range of leading experts. </w:t>
      </w:r>
    </w:p>
    <w:p w14:paraId="682F600D" w14:textId="77777777" w:rsidR="00E02F32" w:rsidRPr="009D0624" w:rsidRDefault="00E02F32" w:rsidP="00E02F32">
      <w:r w:rsidRPr="009D0624">
        <w:t>The IAR is designed to assist the various parties involved in the assessment and</w:t>
      </w:r>
      <w:r>
        <w:t xml:space="preserve"> </w:t>
      </w:r>
      <w:r w:rsidRPr="009D0624">
        <w:t>referral process, including:</w:t>
      </w:r>
    </w:p>
    <w:p w14:paraId="7C84D04D" w14:textId="77777777" w:rsidR="00E02F32" w:rsidRPr="009D0624" w:rsidRDefault="00E02F32" w:rsidP="00E02F32">
      <w:pPr>
        <w:pStyle w:val="Bulletlevel1"/>
      </w:pPr>
      <w:r w:rsidRPr="009D0624">
        <w:t xml:space="preserve">General Practitioners (GP) and other clinicians seeking to determine the most appropriate </w:t>
      </w:r>
      <w:r>
        <w:t xml:space="preserve">mental health </w:t>
      </w:r>
      <w:r w:rsidRPr="009D0624">
        <w:t>care type and intensity.</w:t>
      </w:r>
    </w:p>
    <w:p w14:paraId="0E38044D" w14:textId="77777777" w:rsidR="00E02F32" w:rsidRDefault="00E02F32" w:rsidP="00E02F32">
      <w:pPr>
        <w:pStyle w:val="Bulletlevel1"/>
        <w:spacing w:after="120"/>
      </w:pPr>
      <w:r>
        <w:t>Providers and</w:t>
      </w:r>
      <w:r w:rsidRPr="009D0624">
        <w:t xml:space="preserve"> intake teams</w:t>
      </w:r>
      <w:r>
        <w:t>/services</w:t>
      </w:r>
      <w:r w:rsidRPr="009D0624">
        <w:t xml:space="preserve"> responsible for undertaking initial assessments which</w:t>
      </w:r>
      <w:r>
        <w:t xml:space="preserve"> </w:t>
      </w:r>
      <w:r w:rsidRPr="009D0624">
        <w:t>may involve making recommendations on the level of care required.</w:t>
      </w:r>
    </w:p>
    <w:p w14:paraId="1609A7DC" w14:textId="77777777" w:rsidR="00E02F32" w:rsidRPr="00F347BB" w:rsidRDefault="00E02F32" w:rsidP="00E02F32">
      <w:pPr>
        <w:rPr>
          <w:b/>
          <w:bCs/>
        </w:rPr>
      </w:pPr>
      <w:r w:rsidRPr="00F347BB">
        <w:rPr>
          <w:b/>
          <w:bCs/>
        </w:rPr>
        <w:t>THE EIGHT INITIAL ASSESSMENT DOMAINS</w:t>
      </w:r>
    </w:p>
    <w:p w14:paraId="0B796B02" w14:textId="77777777" w:rsidR="00E02F32" w:rsidRDefault="00E02F32" w:rsidP="00E02F32">
      <w:r w:rsidRPr="00CB3870">
        <w:t>The IAR guidance identifies eight domains that should be considered when determining the next steps in the referral</w:t>
      </w:r>
      <w:r>
        <w:t xml:space="preserve"> </w:t>
      </w:r>
      <w:r w:rsidRPr="00CB3870">
        <w:t>and treatment process for a</w:t>
      </w:r>
      <w:r>
        <w:t>n older adult</w:t>
      </w:r>
      <w:r w:rsidRPr="00CB3870">
        <w:t xml:space="preserve"> seeking </w:t>
      </w:r>
      <w:r>
        <w:t xml:space="preserve">or requiring </w:t>
      </w:r>
      <w:r w:rsidRPr="00CB3870">
        <w:t xml:space="preserve">mental health support. </w:t>
      </w:r>
    </w:p>
    <w:tbl>
      <w:tblPr>
        <w:tblStyle w:val="TableGrid"/>
        <w:tblW w:w="10206" w:type="dxa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9"/>
        <w:gridCol w:w="7937"/>
      </w:tblGrid>
      <w:tr w:rsidR="00E02F32" w:rsidRPr="003F61A7" w14:paraId="4327C2C2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4C0AD529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1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Symptom severity and distress</w:t>
            </w:r>
          </w:p>
        </w:tc>
        <w:tc>
          <w:tcPr>
            <w:tcW w:w="7937" w:type="dxa"/>
            <w:shd w:val="clear" w:color="auto" w:fill="E6ECF0"/>
          </w:tcPr>
          <w:p w14:paraId="56A070E4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rFonts w:cs="Arial"/>
                <w:sz w:val="18"/>
                <w:szCs w:val="18"/>
              </w:rPr>
            </w:pPr>
            <w:r w:rsidRPr="00EC5BF1">
              <w:rPr>
                <w:rFonts w:cs="Arial"/>
                <w:sz w:val="18"/>
                <w:szCs w:val="18"/>
              </w:rPr>
              <w:t>current and past symptoms and duration,</w:t>
            </w:r>
          </w:p>
          <w:p w14:paraId="6417C35A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rFonts w:cs="Arial"/>
                <w:sz w:val="18"/>
                <w:szCs w:val="18"/>
              </w:rPr>
            </w:pPr>
            <w:r w:rsidRPr="00EC5BF1">
              <w:rPr>
                <w:rFonts w:cs="Arial"/>
                <w:sz w:val="18"/>
                <w:szCs w:val="18"/>
              </w:rPr>
              <w:t xml:space="preserve">level of distress attributable to a mental health </w:t>
            </w:r>
            <w:r w:rsidRPr="00EC5BF1">
              <w:rPr>
                <w:rFonts w:cs="Arial"/>
                <w:color w:val="404040" w:themeColor="text1" w:themeTint="BF"/>
                <w:sz w:val="18"/>
                <w:szCs w:val="18"/>
                <w:lang w:eastAsia="en-AU"/>
              </w:rPr>
              <w:t>condition</w:t>
            </w:r>
            <w:r w:rsidRPr="00EC5BF1">
              <w:rPr>
                <w:rFonts w:cs="Arial"/>
                <w:sz w:val="18"/>
                <w:szCs w:val="18"/>
              </w:rPr>
              <w:t>,</w:t>
            </w:r>
          </w:p>
          <w:p w14:paraId="7EAE3C71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rFonts w:cs="Arial"/>
                <w:sz w:val="18"/>
                <w:szCs w:val="18"/>
              </w:rPr>
            </w:pPr>
            <w:r w:rsidRPr="00EC5BF1">
              <w:rPr>
                <w:rFonts w:cs="Arial"/>
                <w:sz w:val="18"/>
                <w:szCs w:val="18"/>
              </w:rPr>
              <w:t>experience of a mental health condition, and</w:t>
            </w:r>
          </w:p>
          <w:p w14:paraId="7D51B8B4" w14:textId="77777777" w:rsidR="00E02F32" w:rsidRPr="00EC5BF1" w:rsidRDefault="00E02F32" w:rsidP="003F3C41">
            <w:pPr>
              <w:pStyle w:val="Bulletlevel1"/>
              <w:tabs>
                <w:tab w:val="clear" w:pos="284"/>
                <w:tab w:val="left" w:pos="907"/>
              </w:tabs>
              <w:spacing w:before="0" w:after="0"/>
              <w:ind w:left="284" w:hanging="227"/>
              <w:rPr>
                <w:rFonts w:cs="Arial"/>
                <w:sz w:val="18"/>
                <w:szCs w:val="18"/>
              </w:rPr>
            </w:pPr>
            <w:r w:rsidRPr="00EC5BF1">
              <w:rPr>
                <w:rFonts w:cs="Arial"/>
                <w:sz w:val="18"/>
                <w:szCs w:val="18"/>
              </w:rPr>
              <w:t xml:space="preserve">are symptoms improving/worsening, is distress improving/worsening, </w:t>
            </w:r>
            <w:r>
              <w:rPr>
                <w:rFonts w:cs="Arial"/>
                <w:sz w:val="18"/>
                <w:szCs w:val="18"/>
              </w:rPr>
              <w:t xml:space="preserve">and </w:t>
            </w:r>
            <w:r w:rsidRPr="00EC5BF1">
              <w:rPr>
                <w:rFonts w:cs="Arial"/>
                <w:sz w:val="18"/>
                <w:szCs w:val="18"/>
              </w:rPr>
              <w:t>are new symptoms emerging?</w:t>
            </w:r>
          </w:p>
        </w:tc>
      </w:tr>
      <w:tr w:rsidR="00E02F32" w:rsidRPr="003F61A7" w14:paraId="3A49C08D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67675F92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2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Risk of harm</w:t>
            </w:r>
          </w:p>
        </w:tc>
        <w:tc>
          <w:tcPr>
            <w:tcW w:w="7937" w:type="dxa"/>
            <w:shd w:val="clear" w:color="auto" w:fill="E6ECF0"/>
          </w:tcPr>
          <w:p w14:paraId="03CA4EBE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suicidality – current and past suicidal ideation, attempts,</w:t>
            </w:r>
          </w:p>
          <w:p w14:paraId="033B7551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 xml:space="preserve">intentional, non-suicidal self-harm – current and past, </w:t>
            </w:r>
          </w:p>
          <w:p w14:paraId="1B1050F0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impulsive and dangerous behaviours with the potential for harm to self or others (including risks associated with use of alcohol and other drugs),</w:t>
            </w:r>
          </w:p>
          <w:p w14:paraId="5BFDB69E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harm caused by abuse, exploitation, or neglect by others, and</w:t>
            </w:r>
          </w:p>
          <w:p w14:paraId="2F53BB6B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unintentional harm to self or others arising from severe symptoms or self-neglect.</w:t>
            </w:r>
          </w:p>
        </w:tc>
      </w:tr>
      <w:tr w:rsidR="00E02F32" w:rsidRPr="003F61A7" w14:paraId="05F1C8CC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3A6CC268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3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7937" w:type="dxa"/>
            <w:shd w:val="clear" w:color="auto" w:fill="E6ECF0"/>
          </w:tcPr>
          <w:p w14:paraId="796AD9CF" w14:textId="77777777" w:rsidR="00E02F32" w:rsidRPr="00920B48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  <w:lang w:eastAsia="en-AU"/>
              </w:rPr>
            </w:pPr>
            <w:r w:rsidRPr="00920B48">
              <w:rPr>
                <w:sz w:val="18"/>
                <w:szCs w:val="18"/>
                <w:lang w:eastAsia="en-AU"/>
              </w:rPr>
              <w:t>Ability to fulfil usual roles/responsibilities appropriate to their age and cultural background</w:t>
            </w:r>
            <w:r>
              <w:rPr>
                <w:sz w:val="18"/>
                <w:szCs w:val="18"/>
                <w:lang w:eastAsia="en-AU"/>
              </w:rPr>
              <w:t>,</w:t>
            </w:r>
          </w:p>
          <w:p w14:paraId="1332C5B9" w14:textId="77777777" w:rsidR="00E02F32" w:rsidRPr="00920B48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  <w:lang w:eastAsia="en-AU"/>
              </w:rPr>
            </w:pPr>
            <w:r w:rsidRPr="00920B48">
              <w:rPr>
                <w:sz w:val="18"/>
                <w:szCs w:val="18"/>
                <w:lang w:eastAsia="en-AU"/>
              </w:rPr>
              <w:t>Functioning within the family or home environment, in vocational settings, with friends or peers, and in the community</w:t>
            </w:r>
            <w:r>
              <w:rPr>
                <w:sz w:val="18"/>
                <w:szCs w:val="18"/>
                <w:lang w:eastAsia="en-AU"/>
              </w:rPr>
              <w:t>, and</w:t>
            </w:r>
          </w:p>
          <w:p w14:paraId="1DD816DC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sz w:val="18"/>
                <w:szCs w:val="18"/>
                <w:lang w:eastAsia="en-AU"/>
              </w:rPr>
            </w:pPr>
            <w:r w:rsidRPr="00920B48">
              <w:rPr>
                <w:sz w:val="18"/>
                <w:szCs w:val="18"/>
                <w:lang w:eastAsia="en-AU"/>
              </w:rPr>
              <w:t>Ability to undertake basic activities of daily living appropriate to their age (e.g., self-care, mobility, toileting, nutrition, and personal hygiene).</w:t>
            </w:r>
          </w:p>
        </w:tc>
      </w:tr>
      <w:tr w:rsidR="00E02F32" w:rsidRPr="003F61A7" w14:paraId="5F30323B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27B0E98A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4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Impact of co-existing conditions</w:t>
            </w:r>
          </w:p>
        </w:tc>
        <w:tc>
          <w:tcPr>
            <w:tcW w:w="7937" w:type="dxa"/>
            <w:shd w:val="clear" w:color="auto" w:fill="E6ECF0"/>
          </w:tcPr>
          <w:p w14:paraId="48FC2C26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physical health conditions,</w:t>
            </w:r>
          </w:p>
          <w:p w14:paraId="0D367F8E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cognitive impairment, intellectual disability, learning and communication disorders, and</w:t>
            </w:r>
          </w:p>
          <w:p w14:paraId="7EC82494" w14:textId="77777777" w:rsidR="00E02F32" w:rsidRPr="00EC5BF1" w:rsidRDefault="00E02F32" w:rsidP="003F3C41">
            <w:pPr>
              <w:pStyle w:val="Bulletlevel1"/>
              <w:spacing w:before="0" w:after="0"/>
              <w:ind w:left="647" w:hanging="590"/>
              <w:rPr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>substance use/misuse</w:t>
            </w:r>
          </w:p>
        </w:tc>
      </w:tr>
      <w:tr w:rsidR="00E02F32" w:rsidRPr="003F61A7" w14:paraId="5EC91C9D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5703F3FF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5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Service use and response history </w:t>
            </w:r>
          </w:p>
        </w:tc>
        <w:tc>
          <w:tcPr>
            <w:tcW w:w="7937" w:type="dxa"/>
            <w:shd w:val="clear" w:color="auto" w:fill="E6ECF0"/>
          </w:tcPr>
          <w:p w14:paraId="4DB4736C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color w:val="000000"/>
                <w:sz w:val="18"/>
                <w:szCs w:val="18"/>
              </w:rPr>
            </w:pPr>
            <w:r w:rsidRPr="00EC5BF1">
              <w:rPr>
                <w:sz w:val="18"/>
                <w:szCs w:val="18"/>
              </w:rPr>
              <w:t xml:space="preserve">whether the </w:t>
            </w:r>
            <w:r>
              <w:rPr>
                <w:sz w:val="18"/>
                <w:szCs w:val="18"/>
              </w:rPr>
              <w:t>older adult</w:t>
            </w:r>
            <w:r w:rsidRPr="00EC5BF1">
              <w:rPr>
                <w:sz w:val="18"/>
                <w:szCs w:val="18"/>
              </w:rPr>
              <w:t xml:space="preserve"> has previously sought help from or been referred to mental health services and related supports (including specialist or mental health inpatient services),</w:t>
            </w:r>
          </w:p>
          <w:p w14:paraId="1EBCE4C2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color w:val="000000"/>
                <w:sz w:val="18"/>
                <w:szCs w:val="18"/>
              </w:rPr>
            </w:pPr>
            <w:r w:rsidRPr="00EC5BF1">
              <w:rPr>
                <w:color w:val="000000"/>
                <w:sz w:val="18"/>
                <w:szCs w:val="18"/>
              </w:rPr>
              <w:t>if the</w:t>
            </w:r>
            <w:r>
              <w:rPr>
                <w:color w:val="000000"/>
                <w:sz w:val="18"/>
                <w:szCs w:val="18"/>
              </w:rPr>
              <w:t xml:space="preserve"> older adult</w:t>
            </w:r>
            <w:r w:rsidRPr="00EC5BF1">
              <w:rPr>
                <w:color w:val="000000"/>
                <w:sz w:val="18"/>
                <w:szCs w:val="18"/>
              </w:rPr>
              <w:t xml:space="preserve"> is currently engaged with services and supports, and</w:t>
            </w:r>
          </w:p>
          <w:p w14:paraId="4FA096E1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color w:val="000000"/>
                <w:sz w:val="18"/>
                <w:szCs w:val="18"/>
              </w:rPr>
            </w:pPr>
            <w:r w:rsidRPr="00EC5BF1">
              <w:rPr>
                <w:color w:val="000000"/>
                <w:sz w:val="18"/>
                <w:szCs w:val="18"/>
              </w:rPr>
              <w:t>their progress or benefit from past or current services and supports.</w:t>
            </w:r>
          </w:p>
        </w:tc>
      </w:tr>
      <w:tr w:rsidR="00E02F32" w:rsidRPr="003F61A7" w14:paraId="4920ACC6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645B9BEF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6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Social and environmental stressors</w:t>
            </w:r>
          </w:p>
        </w:tc>
        <w:tc>
          <w:tcPr>
            <w:tcW w:w="7937" w:type="dxa"/>
            <w:shd w:val="clear" w:color="auto" w:fill="E6ECF0"/>
          </w:tcPr>
          <w:p w14:paraId="297A050E" w14:textId="77777777" w:rsidR="00E02F32" w:rsidRPr="00EC5BF1" w:rsidRDefault="00E02F32" w:rsidP="003F3C41">
            <w:pPr>
              <w:pStyle w:val="Bulletlevel1"/>
              <w:spacing w:before="0" w:after="0"/>
              <w:ind w:left="284" w:hanging="227"/>
              <w:rPr>
                <w:rFonts w:cs="Arial"/>
                <w:sz w:val="18"/>
                <w:szCs w:val="18"/>
              </w:rPr>
            </w:pPr>
            <w:r w:rsidRPr="005A03D4">
              <w:rPr>
                <w:color w:val="000000"/>
                <w:sz w:val="18"/>
                <w:szCs w:val="18"/>
              </w:rPr>
              <w:t>Assessment on this domain should consider the degree to which any or all the following factors are relevant to the person's current circumstances and the referral decision: significant transitions, trauma or victimisation, family or household stress, socio-economic disadvantage, performance-related pressure, and legal issues.</w:t>
            </w:r>
          </w:p>
        </w:tc>
      </w:tr>
      <w:tr w:rsidR="00E02F32" w:rsidRPr="003F61A7" w14:paraId="2EE4A92B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0590F4BC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7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Family and other supports</w:t>
            </w:r>
          </w:p>
        </w:tc>
        <w:tc>
          <w:tcPr>
            <w:tcW w:w="7937" w:type="dxa"/>
            <w:shd w:val="clear" w:color="auto" w:fill="E6ECF0"/>
          </w:tcPr>
          <w:p w14:paraId="25098ABE" w14:textId="77777777" w:rsidR="00E02F32" w:rsidRPr="005A03D4" w:rsidRDefault="00E02F32" w:rsidP="003F3C41">
            <w:pPr>
              <w:pStyle w:val="Bulletlevel1"/>
              <w:spacing w:before="0" w:after="0"/>
              <w:ind w:left="284" w:hanging="227"/>
              <w:rPr>
                <w:color w:val="000000"/>
                <w:sz w:val="18"/>
                <w:szCs w:val="18"/>
              </w:rPr>
            </w:pPr>
            <w:r w:rsidRPr="005A03D4">
              <w:rPr>
                <w:color w:val="000000"/>
                <w:sz w:val="18"/>
                <w:szCs w:val="18"/>
              </w:rPr>
              <w:t>Whether personal supports, including emotionally nurturing relationships, practical support, and social support, are present in the environment, and</w:t>
            </w:r>
          </w:p>
          <w:p w14:paraId="7A1C6892" w14:textId="77777777" w:rsidR="00E02F32" w:rsidRPr="005A03D4" w:rsidRDefault="00E02F32" w:rsidP="003F3C41">
            <w:pPr>
              <w:pStyle w:val="Bulletlevel1"/>
              <w:spacing w:before="0" w:after="0"/>
              <w:ind w:left="284" w:hanging="227"/>
              <w:rPr>
                <w:color w:val="000000"/>
                <w:sz w:val="18"/>
                <w:szCs w:val="18"/>
              </w:rPr>
            </w:pPr>
            <w:r w:rsidRPr="005A03D4">
              <w:rPr>
                <w:color w:val="000000"/>
                <w:sz w:val="18"/>
                <w:szCs w:val="18"/>
              </w:rPr>
              <w:t>Their potential to contribute to improved mental health and participation in treatment.</w:t>
            </w:r>
          </w:p>
        </w:tc>
      </w:tr>
      <w:tr w:rsidR="00E02F32" w:rsidRPr="003F61A7" w14:paraId="7FD23559" w14:textId="77777777" w:rsidTr="00E02F32">
        <w:trPr>
          <w:trHeight w:val="238"/>
          <w:tblHeader/>
        </w:trPr>
        <w:tc>
          <w:tcPr>
            <w:tcW w:w="2269" w:type="dxa"/>
            <w:shd w:val="clear" w:color="auto" w:fill="003C6A"/>
          </w:tcPr>
          <w:p w14:paraId="153AA17A" w14:textId="77777777" w:rsidR="00E02F32" w:rsidRPr="00EC5BF1" w:rsidRDefault="00E02F32" w:rsidP="00720686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EC5BF1">
              <w:rPr>
                <w:rFonts w:ascii="Arial" w:hAnsi="Arial" w:cs="Arial"/>
                <w:color w:val="F16E3D"/>
                <w:sz w:val="18"/>
                <w:szCs w:val="18"/>
              </w:rPr>
              <w:t>DOMAIN 8</w:t>
            </w:r>
            <w:r w:rsidRPr="00EC5BF1">
              <w:rPr>
                <w:rFonts w:ascii="Arial" w:hAnsi="Arial" w:cs="Arial"/>
                <w:sz w:val="18"/>
                <w:szCs w:val="18"/>
              </w:rPr>
              <w:t xml:space="preserve"> Engagement and motivation</w:t>
            </w:r>
          </w:p>
        </w:tc>
        <w:tc>
          <w:tcPr>
            <w:tcW w:w="7937" w:type="dxa"/>
            <w:shd w:val="clear" w:color="auto" w:fill="E6ECF0"/>
          </w:tcPr>
          <w:p w14:paraId="05518A68" w14:textId="77777777" w:rsidR="00E02F32" w:rsidRPr="005A03D4" w:rsidRDefault="00E02F32" w:rsidP="003F3C41">
            <w:pPr>
              <w:pStyle w:val="Bulletlevel1"/>
              <w:spacing w:before="0" w:after="0"/>
              <w:ind w:left="284" w:hanging="227"/>
              <w:rPr>
                <w:b/>
                <w:bCs/>
                <w:color w:val="000000"/>
                <w:sz w:val="18"/>
                <w:szCs w:val="18"/>
              </w:rPr>
            </w:pPr>
            <w:r w:rsidRPr="005A03D4">
              <w:rPr>
                <w:color w:val="000000"/>
                <w:sz w:val="18"/>
                <w:szCs w:val="18"/>
              </w:rPr>
              <w:t>The person's awareness of the mental health issue, and</w:t>
            </w:r>
          </w:p>
          <w:p w14:paraId="24377D64" w14:textId="77777777" w:rsidR="00E02F32" w:rsidRPr="005A03D4" w:rsidRDefault="00E02F32" w:rsidP="003F3C41">
            <w:pPr>
              <w:pStyle w:val="Bulletlevel1"/>
              <w:spacing w:before="0" w:after="0"/>
              <w:ind w:left="284" w:hanging="227"/>
              <w:rPr>
                <w:b/>
                <w:bCs/>
                <w:color w:val="000000"/>
                <w:sz w:val="18"/>
                <w:szCs w:val="18"/>
              </w:rPr>
            </w:pPr>
            <w:r w:rsidRPr="005A03D4">
              <w:rPr>
                <w:color w:val="000000"/>
                <w:sz w:val="18"/>
                <w:szCs w:val="18"/>
              </w:rPr>
              <w:t>The person's capacity and willingness to engage in or accept assistance.</w:t>
            </w:r>
          </w:p>
        </w:tc>
      </w:tr>
    </w:tbl>
    <w:p w14:paraId="3E55973C" w14:textId="77777777" w:rsidR="00E02F32" w:rsidRDefault="00E02F32" w:rsidP="00E02F32">
      <w:pPr>
        <w:rPr>
          <w:b/>
          <w:bCs/>
        </w:rPr>
      </w:pPr>
    </w:p>
    <w:p w14:paraId="7497B508" w14:textId="77777777" w:rsidR="00E02F32" w:rsidRDefault="00E02F32" w:rsidP="00E02F32">
      <w:pPr>
        <w:rPr>
          <w:b/>
          <w:bCs/>
        </w:rPr>
      </w:pPr>
    </w:p>
    <w:p w14:paraId="7B08E4BF" w14:textId="77777777" w:rsidR="00E02F32" w:rsidRPr="00E41140" w:rsidRDefault="00E02F32" w:rsidP="00E02F32">
      <w:pPr>
        <w:rPr>
          <w:b/>
          <w:bCs/>
        </w:rPr>
      </w:pPr>
      <w:r w:rsidRPr="00E41140">
        <w:rPr>
          <w:b/>
          <w:bCs/>
        </w:rPr>
        <w:t>THE LEVELS OF CARE</w:t>
      </w:r>
    </w:p>
    <w:p w14:paraId="1F3C6282" w14:textId="77777777" w:rsidR="00E02F32" w:rsidRDefault="00E02F32" w:rsidP="00E02F32">
      <w:r w:rsidRPr="00932B26">
        <w:t>The information gathered through the initial assessment domains is used to recommend a service type and</w:t>
      </w:r>
      <w:r>
        <w:t xml:space="preserve"> </w:t>
      </w:r>
      <w:r w:rsidRPr="00932B26">
        <w:t>intensity (level of care) and inform a referral decision. This process is based on a clinically informed algorithm and is</w:t>
      </w:r>
      <w:r>
        <w:t xml:space="preserve"> </w:t>
      </w:r>
      <w:r w:rsidRPr="00932B26">
        <w:t>calculated automatically using the digital Decision Support Tool (DST)</w:t>
      </w:r>
      <w:r>
        <w:t xml:space="preserve">. </w:t>
      </w:r>
      <w:r w:rsidRPr="00932B26">
        <w:t xml:space="preserve">The levels are differentiated by the amount and scope of resources </w:t>
      </w:r>
      <w:r>
        <w:t>likely to be required</w:t>
      </w:r>
      <w:r w:rsidRPr="00932B26">
        <w:t>. A</w:t>
      </w:r>
      <w:r>
        <w:t>n older adult</w:t>
      </w:r>
      <w:r w:rsidRPr="00932B26">
        <w:t xml:space="preserve"> may use</w:t>
      </w:r>
      <w:r>
        <w:t xml:space="preserve"> </w:t>
      </w:r>
      <w:r w:rsidRPr="00932B26">
        <w:t>some or all interventions described at that level and move between levels of care as required.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3"/>
        <w:gridCol w:w="1924"/>
        <w:gridCol w:w="1925"/>
        <w:gridCol w:w="1925"/>
        <w:gridCol w:w="1925"/>
      </w:tblGrid>
      <w:tr w:rsidR="00E02F32" w14:paraId="50498B92" w14:textId="77777777" w:rsidTr="00720686">
        <w:trPr>
          <w:tblHeader/>
        </w:trPr>
        <w:tc>
          <w:tcPr>
            <w:tcW w:w="1923" w:type="dxa"/>
            <w:tcBorders>
              <w:left w:val="single" w:sz="6" w:space="0" w:color="003C6A"/>
              <w:bottom w:val="nil"/>
              <w:right w:val="single" w:sz="6" w:space="0" w:color="FFFFFF" w:themeColor="background1"/>
            </w:tcBorders>
            <w:shd w:val="clear" w:color="auto" w:fill="003C6A"/>
          </w:tcPr>
          <w:p w14:paraId="6A9BD716" w14:textId="77777777" w:rsidR="00E02F32" w:rsidRDefault="00E02F32" w:rsidP="00720686">
            <w:pPr>
              <w:pStyle w:val="Tableheading"/>
            </w:pPr>
            <w:r>
              <w:t>LEVEL ONE</w:t>
            </w:r>
          </w:p>
        </w:tc>
        <w:tc>
          <w:tcPr>
            <w:tcW w:w="1924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003C6A"/>
          </w:tcPr>
          <w:p w14:paraId="77975A3B" w14:textId="77777777" w:rsidR="00E02F32" w:rsidRDefault="00E02F32" w:rsidP="00720686">
            <w:pPr>
              <w:pStyle w:val="Tableheading"/>
            </w:pPr>
            <w:r>
              <w:t>LEVEL TWO</w:t>
            </w:r>
          </w:p>
        </w:tc>
        <w:tc>
          <w:tcPr>
            <w:tcW w:w="1925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003C6A"/>
          </w:tcPr>
          <w:p w14:paraId="046D7137" w14:textId="77777777" w:rsidR="00E02F32" w:rsidRDefault="00E02F32" w:rsidP="00720686">
            <w:pPr>
              <w:pStyle w:val="Tableheading"/>
            </w:pPr>
            <w:r>
              <w:t>LEVEL THREE</w:t>
            </w:r>
          </w:p>
        </w:tc>
        <w:tc>
          <w:tcPr>
            <w:tcW w:w="1925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003C6A"/>
          </w:tcPr>
          <w:p w14:paraId="759CEE1E" w14:textId="77777777" w:rsidR="00E02F32" w:rsidRDefault="00E02F32" w:rsidP="00720686">
            <w:pPr>
              <w:pStyle w:val="Tableheading"/>
            </w:pPr>
            <w:r>
              <w:t>LEVEL FOUR</w:t>
            </w:r>
          </w:p>
        </w:tc>
        <w:tc>
          <w:tcPr>
            <w:tcW w:w="1925" w:type="dxa"/>
            <w:tcBorders>
              <w:top w:val="single" w:sz="6" w:space="0" w:color="003C6A"/>
              <w:left w:val="single" w:sz="6" w:space="0" w:color="FFFFFF" w:themeColor="background1"/>
              <w:bottom w:val="nil"/>
              <w:right w:val="single" w:sz="6" w:space="0" w:color="003C6A"/>
            </w:tcBorders>
            <w:shd w:val="clear" w:color="auto" w:fill="003C6A"/>
          </w:tcPr>
          <w:p w14:paraId="2067FC5F" w14:textId="77777777" w:rsidR="00E02F32" w:rsidRDefault="00E02F32" w:rsidP="00720686">
            <w:pPr>
              <w:pStyle w:val="Tableheading"/>
            </w:pPr>
            <w:r>
              <w:t>LEVEL FIVE</w:t>
            </w:r>
          </w:p>
        </w:tc>
      </w:tr>
      <w:tr w:rsidR="00E02F32" w:rsidRPr="00407B7B" w14:paraId="3F0AD414" w14:textId="77777777" w:rsidTr="00720686">
        <w:tc>
          <w:tcPr>
            <w:tcW w:w="1923" w:type="dxa"/>
            <w:tcBorders>
              <w:top w:val="nil"/>
              <w:left w:val="single" w:sz="6" w:space="0" w:color="F26E3D"/>
              <w:bottom w:val="single" w:sz="8" w:space="0" w:color="F16E3D"/>
              <w:right w:val="single" w:sz="6" w:space="0" w:color="F26E3D"/>
            </w:tcBorders>
            <w:shd w:val="clear" w:color="auto" w:fill="E6ECF0"/>
          </w:tcPr>
          <w:p w14:paraId="307C4FAF" w14:textId="77777777" w:rsidR="00E02F32" w:rsidRPr="00093372" w:rsidRDefault="00E02F32" w:rsidP="00720686">
            <w:pPr>
              <w:pStyle w:val="Tableheading2"/>
              <w:rPr>
                <w:b/>
                <w:bCs/>
                <w:color w:val="F16E3D"/>
              </w:rPr>
            </w:pPr>
            <w:r w:rsidRPr="00093372">
              <w:rPr>
                <w:b/>
                <w:bCs/>
                <w:color w:val="F16E3D"/>
              </w:rPr>
              <w:t>Self-Management</w:t>
            </w:r>
          </w:p>
        </w:tc>
        <w:tc>
          <w:tcPr>
            <w:tcW w:w="1924" w:type="dxa"/>
            <w:tcBorders>
              <w:top w:val="nil"/>
              <w:left w:val="single" w:sz="6" w:space="0" w:color="F26E3D"/>
              <w:bottom w:val="single" w:sz="8" w:space="0" w:color="F16E3D"/>
              <w:right w:val="single" w:sz="6" w:space="0" w:color="F26E3D"/>
            </w:tcBorders>
            <w:shd w:val="clear" w:color="auto" w:fill="E6ECF0"/>
          </w:tcPr>
          <w:p w14:paraId="2C09B8C7" w14:textId="77777777" w:rsidR="00E02F32" w:rsidRPr="00093372" w:rsidRDefault="00E02F32" w:rsidP="00720686">
            <w:pPr>
              <w:pStyle w:val="Tableheading2"/>
              <w:rPr>
                <w:b/>
                <w:bCs/>
                <w:color w:val="F16E3D"/>
              </w:rPr>
            </w:pPr>
            <w:r w:rsidRPr="00093372">
              <w:rPr>
                <w:b/>
                <w:bCs/>
                <w:color w:val="F16E3D"/>
              </w:rPr>
              <w:t>Low Intensity Services</w:t>
            </w:r>
          </w:p>
        </w:tc>
        <w:tc>
          <w:tcPr>
            <w:tcW w:w="1925" w:type="dxa"/>
            <w:tcBorders>
              <w:top w:val="nil"/>
              <w:left w:val="single" w:sz="6" w:space="0" w:color="F26E3D"/>
              <w:bottom w:val="single" w:sz="8" w:space="0" w:color="F16E3D"/>
              <w:right w:val="single" w:sz="6" w:space="0" w:color="F26E3D"/>
            </w:tcBorders>
            <w:shd w:val="clear" w:color="auto" w:fill="E6ECF0"/>
          </w:tcPr>
          <w:p w14:paraId="0C0279B8" w14:textId="77777777" w:rsidR="00E02F32" w:rsidRPr="00093372" w:rsidRDefault="00E02F32" w:rsidP="00720686">
            <w:pPr>
              <w:pStyle w:val="Tableheading2"/>
              <w:rPr>
                <w:b/>
                <w:bCs/>
                <w:color w:val="F16E3D"/>
              </w:rPr>
            </w:pPr>
            <w:r w:rsidRPr="00093372">
              <w:rPr>
                <w:b/>
                <w:bCs/>
                <w:color w:val="F16E3D"/>
              </w:rPr>
              <w:t>Moderate Intensity Services</w:t>
            </w:r>
          </w:p>
        </w:tc>
        <w:tc>
          <w:tcPr>
            <w:tcW w:w="1925" w:type="dxa"/>
            <w:tcBorders>
              <w:top w:val="nil"/>
              <w:left w:val="single" w:sz="6" w:space="0" w:color="F26E3D"/>
              <w:bottom w:val="single" w:sz="8" w:space="0" w:color="F16E3D"/>
              <w:right w:val="single" w:sz="6" w:space="0" w:color="F26E3D"/>
            </w:tcBorders>
            <w:shd w:val="clear" w:color="auto" w:fill="E6ECF0"/>
          </w:tcPr>
          <w:p w14:paraId="56045000" w14:textId="77777777" w:rsidR="00E02F32" w:rsidRPr="00093372" w:rsidRDefault="00E02F32" w:rsidP="00720686">
            <w:pPr>
              <w:pStyle w:val="Tableheading2"/>
              <w:rPr>
                <w:b/>
                <w:bCs/>
                <w:color w:val="F16E3D"/>
              </w:rPr>
            </w:pPr>
            <w:r w:rsidRPr="00093372">
              <w:rPr>
                <w:b/>
                <w:bCs/>
                <w:color w:val="F16E3D"/>
              </w:rPr>
              <w:t>High Intensity Services</w:t>
            </w:r>
          </w:p>
        </w:tc>
        <w:tc>
          <w:tcPr>
            <w:tcW w:w="1925" w:type="dxa"/>
            <w:tcBorders>
              <w:top w:val="nil"/>
              <w:left w:val="single" w:sz="6" w:space="0" w:color="F26E3D"/>
              <w:bottom w:val="single" w:sz="8" w:space="0" w:color="F16E3D"/>
              <w:right w:val="single" w:sz="6" w:space="0" w:color="F26E3D"/>
            </w:tcBorders>
            <w:shd w:val="clear" w:color="auto" w:fill="E6ECF0"/>
          </w:tcPr>
          <w:p w14:paraId="7E7DE6C3" w14:textId="77777777" w:rsidR="00E02F32" w:rsidRPr="00093372" w:rsidRDefault="00E02F32" w:rsidP="00720686">
            <w:pPr>
              <w:pStyle w:val="Tableheading2"/>
              <w:rPr>
                <w:b/>
                <w:bCs/>
                <w:color w:val="F16E3D"/>
              </w:rPr>
            </w:pPr>
            <w:r w:rsidRPr="00093372">
              <w:rPr>
                <w:b/>
                <w:bCs/>
                <w:color w:val="F16E3D"/>
              </w:rPr>
              <w:t>Specialist and Acute Community Mental Health Services</w:t>
            </w:r>
          </w:p>
        </w:tc>
      </w:tr>
      <w:tr w:rsidR="00E02F32" w:rsidRPr="00407B7B" w14:paraId="6A7770C9" w14:textId="77777777" w:rsidTr="00720686">
        <w:tc>
          <w:tcPr>
            <w:tcW w:w="1923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1D76EC3E" w14:textId="77777777" w:rsidR="00E02F32" w:rsidRDefault="00E02F32" w:rsidP="00720686">
            <w:pPr>
              <w:pStyle w:val="Tablebody"/>
            </w:pPr>
            <w:r w:rsidRPr="00F662D0">
              <w:t xml:space="preserve">Services at this level are designed to provide self-help resources to support the </w:t>
            </w:r>
            <w:r>
              <w:t xml:space="preserve">older adult </w:t>
            </w:r>
            <w:r w:rsidRPr="00F662D0">
              <w:t xml:space="preserve">in managing any distress or symptoms and maintain </w:t>
            </w:r>
            <w:r>
              <w:t>F</w:t>
            </w:r>
            <w:r w:rsidRPr="00F662D0">
              <w:t>unctioning without the direct involvement of a mental health professional.</w:t>
            </w:r>
            <w:r w:rsidRPr="00F662D0" w:rsidDel="009857BC">
              <w:t xml:space="preserve"> </w:t>
            </w:r>
          </w:p>
          <w:p w14:paraId="7651CC5B" w14:textId="77777777" w:rsidR="00E02F32" w:rsidRPr="00407B7B" w:rsidRDefault="00E02F32" w:rsidP="00720686">
            <w:pPr>
              <w:pStyle w:val="Tablebody"/>
            </w:pPr>
            <w:r w:rsidRPr="00F662D0">
              <w:t>This level of care generally involves evidence-informed, age-appropriate, and culturally safe online resources and other forms of self-help.</w:t>
            </w:r>
          </w:p>
        </w:tc>
        <w:tc>
          <w:tcPr>
            <w:tcW w:w="1924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3B19A3FD" w14:textId="77777777" w:rsidR="00E02F32" w:rsidRDefault="00E02F32" w:rsidP="00720686">
            <w:pPr>
              <w:pStyle w:val="Tablebody"/>
            </w:pPr>
            <w:r>
              <w:t>Low-intensity</w:t>
            </w:r>
            <w:r w:rsidRPr="00ED65DA">
              <w:t xml:space="preserve"> services are designed to be accessed quickly (without the need for a formal referral</w:t>
            </w:r>
            <w:r>
              <w:t>,</w:t>
            </w:r>
            <w:r w:rsidRPr="00ED65DA">
              <w:t xml:space="preserve"> e.g., through a third-party service or provider), easily (through a range of modalities including face-to-face, group work, telephone, and online services)</w:t>
            </w:r>
            <w:r>
              <w:t>,</w:t>
            </w:r>
            <w:r w:rsidRPr="00ED65DA">
              <w:t xml:space="preserve"> and typically involve few or short sessions. </w:t>
            </w:r>
          </w:p>
          <w:p w14:paraId="61B4EE29" w14:textId="77777777" w:rsidR="00E02F32" w:rsidRPr="00ED65DA" w:rsidRDefault="00E02F32" w:rsidP="00720686">
            <w:pPr>
              <w:pStyle w:val="Tablebody"/>
            </w:pPr>
            <w:r w:rsidRPr="00ED65DA">
              <w:t xml:space="preserve">In contrast to Level 1, </w:t>
            </w:r>
            <w:r>
              <w:t>Low-Intensity</w:t>
            </w:r>
            <w:r w:rsidRPr="00ED65DA">
              <w:t xml:space="preserve"> Services usually require some direct, individually tailored engagement with a mental health professional to support the </w:t>
            </w:r>
            <w:r>
              <w:t>older adult</w:t>
            </w:r>
            <w:r w:rsidRPr="00ED65DA">
              <w:t xml:space="preserve">. </w:t>
            </w:r>
          </w:p>
          <w:p w14:paraId="75217F25" w14:textId="77777777" w:rsidR="00E02F32" w:rsidRPr="00407B7B" w:rsidRDefault="00E02F32" w:rsidP="00720686">
            <w:pPr>
              <w:pStyle w:val="Tablebody"/>
            </w:pP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2117AFFF" w14:textId="77777777" w:rsidR="00E02F32" w:rsidRDefault="00E02F32" w:rsidP="00720686">
            <w:pPr>
              <w:pStyle w:val="Tablebody"/>
            </w:pPr>
            <w:r w:rsidRPr="003A0A68">
              <w:t>Moderate intensity services generally provide structured, reasonably frequent, and individually tailored service delivery (e.g., a defined number of psychological sessions delivered regularly).</w:t>
            </w:r>
          </w:p>
          <w:p w14:paraId="24C77F5D" w14:textId="77777777" w:rsidR="00E02F32" w:rsidRPr="001629B3" w:rsidRDefault="00E02F32" w:rsidP="00720686">
            <w:pPr>
              <w:pStyle w:val="Tablebody"/>
            </w:pPr>
            <w:r w:rsidRPr="001629B3">
              <w:t xml:space="preserve">A comprehensive biopsychosocial assessment (if not already undertaken) is required for all </w:t>
            </w:r>
            <w:r>
              <w:t>older adults</w:t>
            </w:r>
            <w:r w:rsidRPr="001629B3">
              <w:t xml:space="preserve"> suited to this level of care.</w:t>
            </w:r>
          </w:p>
          <w:p w14:paraId="146DCF55" w14:textId="77777777" w:rsidR="00E02F32" w:rsidRPr="00407B7B" w:rsidRDefault="00E02F32" w:rsidP="00720686">
            <w:pPr>
              <w:pStyle w:val="Tablebody"/>
            </w:pPr>
          </w:p>
          <w:p w14:paraId="53B79A5D" w14:textId="77777777" w:rsidR="00E02F32" w:rsidRPr="00407B7B" w:rsidRDefault="00E02F32" w:rsidP="00720686">
            <w:pPr>
              <w:pStyle w:val="Tablebody"/>
            </w:pP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45A9BB40" w14:textId="77777777" w:rsidR="00E02F32" w:rsidRDefault="00E02F32" w:rsidP="00720686">
            <w:pPr>
              <w:pStyle w:val="Tablebody"/>
            </w:pPr>
            <w:r>
              <w:t>High-intensity</w:t>
            </w:r>
            <w:r w:rsidRPr="0069301F">
              <w:t xml:space="preserve"> services</w:t>
            </w:r>
            <w:r>
              <w:t>,</w:t>
            </w:r>
            <w:r w:rsidRPr="0069301F">
              <w:t xml:space="preserve"> including periods of intensive service that usually involve multi-disciplinary support and care coordination as multiple services</w:t>
            </w:r>
            <w:r>
              <w:t>,</w:t>
            </w:r>
            <w:r w:rsidRPr="0069301F">
              <w:t xml:space="preserve"> are likely to be involved. </w:t>
            </w:r>
          </w:p>
          <w:p w14:paraId="1B815B72" w14:textId="77777777" w:rsidR="00E02F32" w:rsidRDefault="00E02F32" w:rsidP="00720686">
            <w:pPr>
              <w:pStyle w:val="Tablebody"/>
            </w:pPr>
            <w:r w:rsidRPr="0069301F">
              <w:t xml:space="preserve">Level 4 is usually designed to support </w:t>
            </w:r>
            <w:r>
              <w:t xml:space="preserve">older adults </w:t>
            </w:r>
            <w:r w:rsidRPr="0069301F">
              <w:t xml:space="preserve">experiencing severe symptoms, significant functional </w:t>
            </w:r>
            <w:proofErr w:type="gramStart"/>
            <w:r w:rsidRPr="0069301F">
              <w:t>impairment</w:t>
            </w:r>
            <w:proofErr w:type="gramEnd"/>
            <w:r w:rsidRPr="0069301F">
              <w:t xml:space="preserve"> or risk factors.</w:t>
            </w:r>
          </w:p>
          <w:p w14:paraId="4C9DEC0C" w14:textId="77777777" w:rsidR="00E02F32" w:rsidRPr="009E652F" w:rsidRDefault="00E02F32" w:rsidP="00720686">
            <w:pPr>
              <w:pStyle w:val="Tablebody"/>
            </w:pPr>
            <w:r w:rsidRPr="009E652F">
              <w:t xml:space="preserve">A comprehensive biopsychosocial assessment (if not already undertaken) is required for all </w:t>
            </w:r>
            <w:r>
              <w:t>older adults</w:t>
            </w:r>
            <w:r w:rsidRPr="009E652F">
              <w:t xml:space="preserve"> suited to this level of care.</w:t>
            </w:r>
          </w:p>
          <w:p w14:paraId="617554B6" w14:textId="77777777" w:rsidR="00E02F32" w:rsidRPr="0069301F" w:rsidRDefault="00E02F32" w:rsidP="00720686">
            <w:pPr>
              <w:pStyle w:val="Tablebody"/>
            </w:pPr>
          </w:p>
          <w:p w14:paraId="6D3FA77A" w14:textId="77777777" w:rsidR="00E02F32" w:rsidRPr="00407B7B" w:rsidRDefault="00E02F32" w:rsidP="00720686">
            <w:pPr>
              <w:pStyle w:val="Tablebody"/>
            </w:pP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3E08D999" w14:textId="77777777" w:rsidR="00E02F32" w:rsidRDefault="00E02F32" w:rsidP="00720686">
            <w:pPr>
              <w:pStyle w:val="Tablebody"/>
            </w:pPr>
            <w:r w:rsidRPr="003C3BD1">
              <w:t xml:space="preserve">Specialist mental healthcare usually includes intensive team-based specialist assessment and service (typically state/territory mental health services) with involvement from a range of different types of mental health professionals, including case managers, psychiatrists, social workers, occupational therapists, psychologists and drug and alcohol workers. </w:t>
            </w:r>
          </w:p>
          <w:p w14:paraId="74909A2C" w14:textId="77777777" w:rsidR="00E02F32" w:rsidRPr="00407B7B" w:rsidRDefault="00E02F32" w:rsidP="00720686">
            <w:pPr>
              <w:pStyle w:val="Tablebody"/>
            </w:pPr>
            <w:r w:rsidRPr="003C3BD1">
              <w:t>This level also often includes more intensive care provided by GPs working in partnership with acute and specialist teams.</w:t>
            </w:r>
          </w:p>
        </w:tc>
      </w:tr>
      <w:tr w:rsidR="00E02F32" w:rsidRPr="00407B7B" w14:paraId="2D750EFD" w14:textId="77777777" w:rsidTr="00720686">
        <w:tc>
          <w:tcPr>
            <w:tcW w:w="1923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032EB0F4" w14:textId="77777777" w:rsidR="00E02F32" w:rsidRPr="00F662D0" w:rsidRDefault="00E02F32" w:rsidP="00720686">
            <w:pPr>
              <w:pStyle w:val="Tablebody"/>
            </w:pPr>
            <w:r w:rsidRPr="005E3B8F">
              <w:t>A</w:t>
            </w:r>
            <w:r>
              <w:t xml:space="preserve"> person </w:t>
            </w:r>
            <w:r w:rsidRPr="005E3B8F">
              <w:t>suitable for this level of care typically has minimal or no risk factors, is usually experiencing mild symptoms/low levels of distress</w:t>
            </w:r>
            <w:r>
              <w:t>. W</w:t>
            </w:r>
            <w:r w:rsidRPr="005E3B8F">
              <w:t xml:space="preserve">here present, this is likely to be in response to a stressful environment. Symptoms have typically been present for a short period (less than </w:t>
            </w:r>
            <w:r>
              <w:t>6</w:t>
            </w:r>
            <w:r w:rsidRPr="005E3B8F">
              <w:t xml:space="preserve"> months but this may vary). </w:t>
            </w:r>
            <w:r>
              <w:t>The older adult is generally functioning well and has positive levels of engagement and motivation.</w:t>
            </w:r>
          </w:p>
        </w:tc>
        <w:tc>
          <w:tcPr>
            <w:tcW w:w="1924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314743A1" w14:textId="77777777" w:rsidR="00E02F32" w:rsidRDefault="00E02F32" w:rsidP="00720686">
            <w:pPr>
              <w:pStyle w:val="Tablebody"/>
            </w:pPr>
            <w:r>
              <w:t xml:space="preserve">A person suitable for this level of care typically has minimal or no risk factors, is usually experiencing mild symptoms/low levels of distress. Where present, this is likely to be in response to a stressful environment. </w:t>
            </w:r>
          </w:p>
          <w:p w14:paraId="15FA39CE" w14:textId="77777777" w:rsidR="00E02F32" w:rsidRPr="00ED65DA" w:rsidRDefault="00E02F32" w:rsidP="00720686">
            <w:pPr>
              <w:pStyle w:val="Tablebody"/>
            </w:pPr>
            <w:r>
              <w:t>Symptoms have typically been present for a short period (less than 6 months but this may vary). The older adult is generally functioning well.</w:t>
            </w: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3B8854CD" w14:textId="77777777" w:rsidR="00E02F32" w:rsidRDefault="00E02F32" w:rsidP="00720686">
            <w:pPr>
              <w:pStyle w:val="Tablebody"/>
            </w:pPr>
            <w:r>
              <w:t xml:space="preserve">A person requiring this level of care is likely to be experiencing mild to moderate symptoms (that would meet the criteria for a diagnosis). </w:t>
            </w:r>
          </w:p>
          <w:p w14:paraId="782A0274" w14:textId="77777777" w:rsidR="00E02F32" w:rsidRPr="003A0A68" w:rsidRDefault="00E02F32" w:rsidP="00720686">
            <w:pPr>
              <w:pStyle w:val="Tablebody"/>
            </w:pPr>
            <w:r>
              <w:t xml:space="preserve">Symptoms have </w:t>
            </w:r>
            <w:r>
              <w:rPr>
                <w:u w:val="single"/>
              </w:rPr>
              <w:t>typically</w:t>
            </w:r>
            <w:r>
              <w:t xml:space="preserve"> been present for 6 months or more (but this may vary). The initial assessment would usually indicate problems present in Risk of Harm, Functioning or Impact of Co-existing Conditions but not at very severe levels.</w:t>
            </w: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7EAD0F01" w14:textId="77777777" w:rsidR="00E02F32" w:rsidRDefault="00E02F32" w:rsidP="00720686">
            <w:pPr>
              <w:pStyle w:val="Tablebody"/>
            </w:pPr>
            <w:r>
              <w:t xml:space="preserve">A person requiring this level of care usually has significant symptoms or significant problems with Functioning. </w:t>
            </w:r>
          </w:p>
          <w:p w14:paraId="502584BC" w14:textId="77777777" w:rsidR="00E02F32" w:rsidRPr="0069301F" w:rsidRDefault="00E02F32" w:rsidP="00720686">
            <w:pPr>
              <w:pStyle w:val="Tablebody"/>
            </w:pPr>
            <w:r>
              <w:t xml:space="preserve">An older adult with a severe presentation is likely to be experiencing moderate or higher problems associated with Risk of Harm, Functioning, and </w:t>
            </w:r>
            <w:r>
              <w:rPr>
                <w:color w:val="000000"/>
              </w:rPr>
              <w:t>Impact of</w:t>
            </w:r>
            <w:r w:rsidRPr="00055DBF">
              <w:rPr>
                <w:color w:val="000000"/>
              </w:rPr>
              <w:t xml:space="preserve"> </w:t>
            </w:r>
            <w:r>
              <w:t xml:space="preserve">Co-existing Conditions. </w:t>
            </w:r>
          </w:p>
        </w:tc>
        <w:tc>
          <w:tcPr>
            <w:tcW w:w="1925" w:type="dxa"/>
            <w:tcBorders>
              <w:top w:val="single" w:sz="8" w:space="0" w:color="F16E3D"/>
              <w:left w:val="single" w:sz="8" w:space="0" w:color="F16E3D"/>
              <w:bottom w:val="single" w:sz="8" w:space="0" w:color="F16E3D"/>
              <w:right w:val="single" w:sz="8" w:space="0" w:color="F16E3D"/>
            </w:tcBorders>
          </w:tcPr>
          <w:p w14:paraId="4A620560" w14:textId="77777777" w:rsidR="00E02F32" w:rsidRPr="003C3BD1" w:rsidRDefault="00E02F32" w:rsidP="00720686">
            <w:pPr>
              <w:pStyle w:val="Tablebody"/>
            </w:pPr>
            <w:r>
              <w:t>A person</w:t>
            </w:r>
            <w:r w:rsidRPr="00E17D15">
              <w:t xml:space="preserve"> requiring this level of care usually has significant symptoms (e.g., severe symptoms or extreme behavioural problems) or problems in functioning independently across multiple or most everyday roles or is experiencing</w:t>
            </w:r>
            <w:r>
              <w:t xml:space="preserve"> </w:t>
            </w:r>
            <w:r w:rsidRPr="00E17D15">
              <w:t>significant risk of suicide, self-harm, self-neglect, or vulnerability</w:t>
            </w:r>
            <w:r>
              <w:t xml:space="preserve">, or </w:t>
            </w:r>
            <w:r w:rsidRPr="00E17D15">
              <w:t>significant risk of harm to others.</w:t>
            </w:r>
          </w:p>
        </w:tc>
      </w:tr>
    </w:tbl>
    <w:p w14:paraId="4700884E" w14:textId="52F4EBBB" w:rsidR="00BD61F3" w:rsidRDefault="00BD61F3" w:rsidP="00E02F32"/>
    <w:p w14:paraId="19045614" w14:textId="5666FB61" w:rsidR="003F3C41" w:rsidRPr="003F3C41" w:rsidRDefault="003F3C41" w:rsidP="003F3C41"/>
    <w:p w14:paraId="47C6A855" w14:textId="2B349487" w:rsidR="003F3C41" w:rsidRPr="003F3C41" w:rsidRDefault="003F3C41" w:rsidP="003F3C41"/>
    <w:p w14:paraId="1B32DC1B" w14:textId="0932C237" w:rsidR="003F3C41" w:rsidRPr="003F3C41" w:rsidRDefault="003F3C41" w:rsidP="003F3C41">
      <w:pPr>
        <w:tabs>
          <w:tab w:val="left" w:pos="2025"/>
        </w:tabs>
      </w:pPr>
      <w:r>
        <w:tab/>
      </w:r>
    </w:p>
    <w:sectPr w:rsidR="003F3C41" w:rsidRPr="003F3C41" w:rsidSect="00E02F32">
      <w:headerReference w:type="first" r:id="rId10"/>
      <w:footerReference w:type="first" r:id="rId11"/>
      <w:pgSz w:w="11906" w:h="16838" w:code="9"/>
      <w:pgMar w:top="300" w:right="849" w:bottom="142" w:left="851" w:header="317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2BD5E" w14:textId="77777777" w:rsidR="00DD23EC" w:rsidRDefault="00DD23EC" w:rsidP="00DD23EC">
      <w:pPr>
        <w:spacing w:before="0" w:after="0"/>
      </w:pPr>
      <w:r>
        <w:separator/>
      </w:r>
    </w:p>
  </w:endnote>
  <w:endnote w:type="continuationSeparator" w:id="0">
    <w:p w14:paraId="27F7AD4C" w14:textId="77777777" w:rsidR="00DD23EC" w:rsidRDefault="00DD23EC" w:rsidP="00DD23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BEFE1" w14:textId="582E8C5B" w:rsidR="00DD23EC" w:rsidRPr="009A4120" w:rsidRDefault="00E02F32" w:rsidP="009A4120">
    <w:pPr>
      <w:pStyle w:val="Footer"/>
    </w:pPr>
    <w:r>
      <w:t>Draft IAR Snapshot – Older Adults</w:t>
    </w:r>
    <w:r w:rsidR="00407B7B" w:rsidRPr="009A4120">
      <w:tab/>
    </w:r>
    <w:r w:rsidR="00407B7B" w:rsidRPr="009A4120">
      <w:fldChar w:fldCharType="begin"/>
    </w:r>
    <w:r w:rsidR="00407B7B" w:rsidRPr="009A4120">
      <w:instrText xml:space="preserve"> PAGE   \* MERGEFORMAT </w:instrText>
    </w:r>
    <w:r w:rsidR="00407B7B" w:rsidRPr="009A4120">
      <w:fldChar w:fldCharType="separate"/>
    </w:r>
    <w:r w:rsidR="00B10200">
      <w:t>1</w:t>
    </w:r>
    <w:r w:rsidR="00407B7B" w:rsidRPr="009A412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7A4E" w14:textId="77777777" w:rsidR="00DD23EC" w:rsidRDefault="00DD23EC" w:rsidP="00DD23EC">
      <w:pPr>
        <w:spacing w:before="0" w:after="0"/>
      </w:pPr>
      <w:r>
        <w:separator/>
      </w:r>
    </w:p>
  </w:footnote>
  <w:footnote w:type="continuationSeparator" w:id="0">
    <w:p w14:paraId="02F6EDF0" w14:textId="77777777" w:rsidR="00DD23EC" w:rsidRDefault="00DD23EC" w:rsidP="00DD23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99E00" w14:textId="77777777" w:rsidR="00DD23EC" w:rsidRDefault="00DD23E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AF50569" wp14:editId="34113ED3">
          <wp:simplePos x="0" y="0"/>
          <wp:positionH relativeFrom="page">
            <wp:posOffset>0</wp:posOffset>
          </wp:positionH>
          <wp:positionV relativeFrom="page">
            <wp:posOffset>5506</wp:posOffset>
          </wp:positionV>
          <wp:extent cx="7560000" cy="2134588"/>
          <wp:effectExtent l="0" t="0" r="0" b="0"/>
          <wp:wrapNone/>
          <wp:docPr id="62" name="Picture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34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06991"/>
    <w:multiLevelType w:val="hybridMultilevel"/>
    <w:tmpl w:val="55C26872"/>
    <w:lvl w:ilvl="0" w:tplc="C9B8519C">
      <w:start w:val="1"/>
      <w:numFmt w:val="bullet"/>
      <w:pStyle w:val="Bulletlevel1"/>
      <w:lvlText w:val=""/>
      <w:lvlJc w:val="left"/>
      <w:pPr>
        <w:ind w:left="644" w:hanging="360"/>
      </w:pPr>
      <w:rPr>
        <w:rFonts w:ascii="Symbol" w:hAnsi="Symbol" w:hint="default"/>
        <w:color w:val="F26E3D"/>
        <w:u w:color="F26E3D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AEB"/>
    <w:multiLevelType w:val="hybridMultilevel"/>
    <w:tmpl w:val="8D928CA6"/>
    <w:lvl w:ilvl="0" w:tplc="C9B851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26E3D"/>
        <w:u w:color="F26E3D"/>
      </w:rPr>
    </w:lvl>
    <w:lvl w:ilvl="1" w:tplc="37EEF5A6">
      <w:start w:val="1"/>
      <w:numFmt w:val="bullet"/>
      <w:pStyle w:val="Bulletlevel2"/>
      <w:lvlText w:val="–"/>
      <w:lvlJc w:val="left"/>
      <w:pPr>
        <w:ind w:left="1440" w:hanging="360"/>
      </w:pPr>
      <w:rPr>
        <w:rFonts w:ascii="Arial" w:hAnsi="Arial" w:hint="default"/>
        <w:color w:val="F26E3D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F3"/>
    <w:rsid w:val="000B615B"/>
    <w:rsid w:val="0019383F"/>
    <w:rsid w:val="0037101B"/>
    <w:rsid w:val="003F3C41"/>
    <w:rsid w:val="00407B7B"/>
    <w:rsid w:val="00542074"/>
    <w:rsid w:val="006E3759"/>
    <w:rsid w:val="00796DF0"/>
    <w:rsid w:val="00963E90"/>
    <w:rsid w:val="009A4120"/>
    <w:rsid w:val="00A34F21"/>
    <w:rsid w:val="00AB5136"/>
    <w:rsid w:val="00B10200"/>
    <w:rsid w:val="00B37817"/>
    <w:rsid w:val="00B8041C"/>
    <w:rsid w:val="00BA01D8"/>
    <w:rsid w:val="00BB3035"/>
    <w:rsid w:val="00BD61F3"/>
    <w:rsid w:val="00BF58ED"/>
    <w:rsid w:val="00C33765"/>
    <w:rsid w:val="00C748B4"/>
    <w:rsid w:val="00C8254B"/>
    <w:rsid w:val="00DD23EC"/>
    <w:rsid w:val="00E02F32"/>
    <w:rsid w:val="00E03131"/>
    <w:rsid w:val="00E36DE8"/>
    <w:rsid w:val="00E421D6"/>
    <w:rsid w:val="00F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78637"/>
  <w15:chartTrackingRefBased/>
  <w15:docId w15:val="{0B531A8B-39AB-48BA-B94F-2730E017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1C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next w:val="Normal"/>
    <w:link w:val="Heading1Char"/>
    <w:uiPriority w:val="9"/>
    <w:qFormat/>
    <w:rsid w:val="00542074"/>
    <w:pPr>
      <w:keepNext/>
      <w:keepLines/>
      <w:spacing w:before="120" w:after="0" w:line="240" w:lineRule="auto"/>
      <w:outlineLvl w:val="0"/>
    </w:pPr>
    <w:rPr>
      <w:rFonts w:ascii="Century Gothic" w:eastAsiaTheme="majorEastAsia" w:hAnsi="Century Gothic" w:cstheme="majorBidi"/>
      <w:b/>
      <w:color w:val="003C6A"/>
      <w:sz w:val="4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42074"/>
    <w:pPr>
      <w:keepNext/>
      <w:keepLines/>
      <w:spacing w:before="360" w:after="0" w:line="240" w:lineRule="auto"/>
      <w:outlineLvl w:val="1"/>
    </w:pPr>
    <w:rPr>
      <w:rFonts w:ascii="Century Gothic" w:eastAsiaTheme="majorEastAsia" w:hAnsi="Century Gothic" w:cstheme="majorBidi"/>
      <w:b/>
      <w:color w:val="003C6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074"/>
    <w:pPr>
      <w:keepNext/>
      <w:keepLines/>
      <w:spacing w:before="240" w:after="0"/>
      <w:outlineLvl w:val="2"/>
    </w:pPr>
    <w:rPr>
      <w:rFonts w:ascii="Century Gothic" w:eastAsiaTheme="majorEastAsia" w:hAnsi="Century Gothic" w:cstheme="majorBidi"/>
      <w:color w:val="003C6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074"/>
    <w:pPr>
      <w:keepNext/>
      <w:keepLines/>
      <w:spacing w:before="240" w:after="0"/>
      <w:outlineLvl w:val="3"/>
    </w:pPr>
    <w:rPr>
      <w:rFonts w:ascii="Century Gothic" w:eastAsiaTheme="majorEastAsia" w:hAnsi="Century Gothic" w:cstheme="majorBidi"/>
      <w:iCs/>
      <w:color w:val="003C6A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E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i/>
      <w:color w:val="003C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74"/>
    <w:rPr>
      <w:rFonts w:ascii="Century Gothic" w:eastAsiaTheme="majorEastAsia" w:hAnsi="Century Gothic" w:cstheme="majorBidi"/>
      <w:b/>
      <w:color w:val="003C6A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074"/>
    <w:rPr>
      <w:rFonts w:ascii="Century Gothic" w:eastAsiaTheme="majorEastAsia" w:hAnsi="Century Gothic" w:cstheme="majorBidi"/>
      <w:b/>
      <w:color w:val="003C6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2074"/>
    <w:rPr>
      <w:rFonts w:ascii="Century Gothic" w:eastAsiaTheme="majorEastAsia" w:hAnsi="Century Gothic" w:cstheme="majorBidi"/>
      <w:color w:val="003C6A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2074"/>
    <w:rPr>
      <w:rFonts w:ascii="Century Gothic" w:eastAsiaTheme="majorEastAsia" w:hAnsi="Century Gothic" w:cstheme="majorBidi"/>
      <w:iCs/>
      <w:color w:val="003C6A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07B7B"/>
  </w:style>
  <w:style w:type="character" w:customStyle="1" w:styleId="TitleChar">
    <w:name w:val="Title Char"/>
    <w:basedOn w:val="DefaultParagraphFont"/>
    <w:link w:val="Title"/>
    <w:uiPriority w:val="10"/>
    <w:rsid w:val="00407B7B"/>
    <w:rPr>
      <w:rFonts w:ascii="Century Gothic" w:eastAsiaTheme="majorEastAsia" w:hAnsi="Century Gothic" w:cstheme="majorBidi"/>
      <w:b/>
      <w:color w:val="003C6A"/>
      <w:sz w:val="4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F3"/>
    <w:pPr>
      <w:numPr>
        <w:ilvl w:val="1"/>
      </w:numPr>
      <w:spacing w:after="160"/>
    </w:pPr>
    <w:rPr>
      <w:rFonts w:ascii="Century Gothic" w:eastAsiaTheme="minorEastAsia" w:hAnsi="Century Gothic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BD61F3"/>
    <w:rPr>
      <w:rFonts w:ascii="Century Gothic" w:eastAsiaTheme="minorEastAsia" w:hAnsi="Century Gothic"/>
      <w:color w:val="FFFFFF" w:themeColor="background1"/>
      <w:spacing w:val="15"/>
      <w:sz w:val="52"/>
    </w:rPr>
  </w:style>
  <w:style w:type="paragraph" w:styleId="Header">
    <w:name w:val="header"/>
    <w:basedOn w:val="Normal"/>
    <w:link w:val="HeaderChar"/>
    <w:uiPriority w:val="99"/>
    <w:unhideWhenUsed/>
    <w:rsid w:val="00DD23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23E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A4120"/>
    <w:pPr>
      <w:tabs>
        <w:tab w:val="right" w:pos="9639"/>
      </w:tabs>
      <w:spacing w:after="0"/>
    </w:pPr>
    <w:rPr>
      <w:noProof/>
      <w:color w:val="FFFFFF" w:themeColor="background1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A4120"/>
    <w:rPr>
      <w:rFonts w:ascii="Arial" w:hAnsi="Arial"/>
      <w:noProof/>
      <w:color w:val="FFFFFF" w:themeColor="background1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E8"/>
    <w:rPr>
      <w:rFonts w:ascii="Century Gothic" w:eastAsiaTheme="majorEastAsia" w:hAnsi="Century Gothic" w:cstheme="majorBidi"/>
      <w:i/>
      <w:color w:val="003C6A"/>
      <w:sz w:val="20"/>
    </w:rPr>
  </w:style>
  <w:style w:type="paragraph" w:styleId="ListParagraph">
    <w:name w:val="List Paragraph"/>
    <w:basedOn w:val="Normal"/>
    <w:uiPriority w:val="34"/>
    <w:qFormat/>
    <w:rsid w:val="0019383F"/>
    <w:pPr>
      <w:ind w:left="720"/>
      <w:contextualSpacing/>
    </w:pPr>
  </w:style>
  <w:style w:type="paragraph" w:customStyle="1" w:styleId="Bulletlevel1">
    <w:name w:val="Bullet level 1"/>
    <w:basedOn w:val="ListParagraph"/>
    <w:qFormat/>
    <w:rsid w:val="00B37817"/>
    <w:pPr>
      <w:numPr>
        <w:numId w:val="1"/>
      </w:numPr>
      <w:tabs>
        <w:tab w:val="left" w:pos="284"/>
      </w:tabs>
      <w:spacing w:before="60" w:after="60"/>
      <w:ind w:left="641" w:hanging="357"/>
      <w:contextualSpacing w:val="0"/>
    </w:pPr>
  </w:style>
  <w:style w:type="paragraph" w:customStyle="1" w:styleId="Bulletlevel2">
    <w:name w:val="Bullet level 2"/>
    <w:basedOn w:val="Bulletlevel1"/>
    <w:qFormat/>
    <w:rsid w:val="00B37817"/>
    <w:pPr>
      <w:numPr>
        <w:ilvl w:val="1"/>
        <w:numId w:val="2"/>
      </w:numPr>
      <w:tabs>
        <w:tab w:val="left" w:pos="567"/>
      </w:tabs>
      <w:ind w:left="936" w:hanging="284"/>
    </w:pPr>
  </w:style>
  <w:style w:type="paragraph" w:customStyle="1" w:styleId="highlighttext">
    <w:name w:val="highlight text"/>
    <w:basedOn w:val="Normal"/>
    <w:qFormat/>
    <w:rsid w:val="00C748B4"/>
    <w:pPr>
      <w:pBdr>
        <w:top w:val="single" w:sz="18" w:space="4" w:color="F26E3D"/>
        <w:bottom w:val="single" w:sz="18" w:space="5" w:color="F26E3D"/>
      </w:pBdr>
      <w:spacing w:before="300" w:after="240" w:line="288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F2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7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65"/>
    <w:rPr>
      <w:rFonts w:ascii="Segoe UI" w:hAnsi="Segoe UI" w:cs="Segoe UI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C33765"/>
    <w:pPr>
      <w:autoSpaceDE w:val="0"/>
      <w:autoSpaceDN w:val="0"/>
      <w:adjustRightInd w:val="0"/>
      <w:spacing w:before="0" w:after="0" w:line="241" w:lineRule="atLeast"/>
    </w:pPr>
    <w:rPr>
      <w:rFonts w:ascii="Century Gothic Pro" w:hAnsi="Century Gothic Pro"/>
      <w:sz w:val="24"/>
      <w:szCs w:val="24"/>
    </w:rPr>
  </w:style>
  <w:style w:type="character" w:customStyle="1" w:styleId="A4">
    <w:name w:val="A4"/>
    <w:uiPriority w:val="99"/>
    <w:rsid w:val="00C33765"/>
    <w:rPr>
      <w:rFonts w:cs="Century Gothic Pro"/>
      <w:color w:val="FFFFFF"/>
      <w:sz w:val="20"/>
      <w:szCs w:val="20"/>
    </w:rPr>
  </w:style>
  <w:style w:type="paragraph" w:customStyle="1" w:styleId="Tableheading">
    <w:name w:val="Table heading"/>
    <w:basedOn w:val="Normal"/>
    <w:qFormat/>
    <w:rsid w:val="00C33765"/>
    <w:pPr>
      <w:autoSpaceDE w:val="0"/>
      <w:autoSpaceDN w:val="0"/>
      <w:adjustRightInd w:val="0"/>
      <w:spacing w:before="0" w:after="0" w:line="241" w:lineRule="atLeast"/>
    </w:pPr>
    <w:rPr>
      <w:rFonts w:ascii="Century Gothic Pro" w:hAnsi="Century Gothic Pro" w:cs="Century Gothic Pro"/>
      <w:b/>
      <w:bCs/>
      <w:color w:val="FFFFFF"/>
      <w:szCs w:val="20"/>
    </w:rPr>
  </w:style>
  <w:style w:type="paragraph" w:customStyle="1" w:styleId="Tableheading2">
    <w:name w:val="Table heading 2"/>
    <w:basedOn w:val="Normal"/>
    <w:qFormat/>
    <w:rsid w:val="00C33765"/>
    <w:pPr>
      <w:autoSpaceDE w:val="0"/>
      <w:autoSpaceDN w:val="0"/>
      <w:adjustRightInd w:val="0"/>
      <w:spacing w:before="0" w:after="0" w:line="241" w:lineRule="atLeast"/>
    </w:pPr>
    <w:rPr>
      <w:rFonts w:ascii="Century Gothic Pro" w:hAnsi="Century Gothic Pro" w:cs="Century Gothic Pro"/>
      <w:color w:val="FFFFFF"/>
      <w:szCs w:val="20"/>
    </w:rPr>
  </w:style>
  <w:style w:type="paragraph" w:customStyle="1" w:styleId="Tablebody">
    <w:name w:val="Table body"/>
    <w:basedOn w:val="Normal"/>
    <w:qFormat/>
    <w:rsid w:val="00407B7B"/>
    <w:pPr>
      <w:spacing w:before="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2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F3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F3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e9793-85c0-4a67-8ae0-b72379d078a4">
      <Terms xmlns="http://schemas.microsoft.com/office/infopath/2007/PartnerControls"/>
    </lcf76f155ced4ddcb4097134ff3c332f>
    <TaxCatchAll xmlns="b9429275-36ea-4516-a203-c36dee64bf09" xsi:nil="true"/>
    <Notes xmlns="7cde9793-85c0-4a67-8ae0-b72379d078a4" xsi:nil="true"/>
    <cqyq xmlns="7cde9793-85c0-4a67-8ae0-b72379d078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10776E8232249ADE677A3FBBC16BD" ma:contentTypeVersion="25" ma:contentTypeDescription="Create a new document." ma:contentTypeScope="" ma:versionID="fdba7ab5930392d8bf68f124e7bc1767">
  <xsd:schema xmlns:xsd="http://www.w3.org/2001/XMLSchema" xmlns:xs="http://www.w3.org/2001/XMLSchema" xmlns:p="http://schemas.microsoft.com/office/2006/metadata/properties" xmlns:ns2="7cde9793-85c0-4a67-8ae0-b72379d078a4" xmlns:ns3="b9429275-36ea-4516-a203-c36dee64bf09" targetNamespace="http://schemas.microsoft.com/office/2006/metadata/properties" ma:root="true" ma:fieldsID="c6a5406da055a1a0f6824720dae1ceb4" ns2:_="" ns3:_="">
    <xsd:import namespace="7cde9793-85c0-4a67-8ae0-b72379d078a4"/>
    <xsd:import namespace="b9429275-36ea-4516-a203-c36dee64b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qyq" minOccurs="0"/>
                <xsd:element ref="ns2:ed854238-9d58-499f-ae06-38dac85ac9dbCountryOrRegion" minOccurs="0"/>
                <xsd:element ref="ns2:ed854238-9d58-499f-ae06-38dac85ac9dbState" minOccurs="0"/>
                <xsd:element ref="ns2:ed854238-9d58-499f-ae06-38dac85ac9dbCity" minOccurs="0"/>
                <xsd:element ref="ns2:ed854238-9d58-499f-ae06-38dac85ac9dbPostalCode" minOccurs="0"/>
                <xsd:element ref="ns2:ed854238-9d58-499f-ae06-38dac85ac9dbStreet" minOccurs="0"/>
                <xsd:element ref="ns2:ed854238-9d58-499f-ae06-38dac85ac9dbGeoLoc" minOccurs="0"/>
                <xsd:element ref="ns2:ed854238-9d58-499f-ae06-38dac85ac9dbDispNa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e9793-85c0-4a67-8ae0-b72379d07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cqyq" ma:index="17" nillable="true" ma:displayName="Location" ma:internalName="cqyq">
      <xsd:simpleType>
        <xsd:restriction base="dms:Unknown"/>
      </xsd:simpleType>
    </xsd:element>
    <xsd:element name="ed854238-9d58-499f-ae06-38dac85ac9dbCountryOrRegion" ma:index="18" nillable="true" ma:displayName="Location: Country/Region" ma:internalName="CountryOrRegion" ma:readOnly="true">
      <xsd:simpleType>
        <xsd:restriction base="dms:Text"/>
      </xsd:simpleType>
    </xsd:element>
    <xsd:element name="ed854238-9d58-499f-ae06-38dac85ac9dbState" ma:index="19" nillable="true" ma:displayName="Location: State" ma:internalName="State" ma:readOnly="true">
      <xsd:simpleType>
        <xsd:restriction base="dms:Text"/>
      </xsd:simpleType>
    </xsd:element>
    <xsd:element name="ed854238-9d58-499f-ae06-38dac85ac9dbCity" ma:index="20" nillable="true" ma:displayName="Location: City" ma:internalName="City" ma:readOnly="true">
      <xsd:simpleType>
        <xsd:restriction base="dms:Text"/>
      </xsd:simpleType>
    </xsd:element>
    <xsd:element name="ed854238-9d58-499f-ae06-38dac85ac9dbPostalCode" ma:index="21" nillable="true" ma:displayName="Location: Postal Code" ma:internalName="PostalCode" ma:readOnly="true">
      <xsd:simpleType>
        <xsd:restriction base="dms:Text"/>
      </xsd:simpleType>
    </xsd:element>
    <xsd:element name="ed854238-9d58-499f-ae06-38dac85ac9dbStreet" ma:index="22" nillable="true" ma:displayName="Location: Street" ma:internalName="Street" ma:readOnly="true">
      <xsd:simpleType>
        <xsd:restriction base="dms:Text"/>
      </xsd:simpleType>
    </xsd:element>
    <xsd:element name="ed854238-9d58-499f-ae06-38dac85ac9dbGeoLoc" ma:index="23" nillable="true" ma:displayName="Location: Coordinates" ma:internalName="GeoLoc" ma:readOnly="true">
      <xsd:simpleType>
        <xsd:restriction base="dms:Unknown"/>
      </xsd:simpleType>
    </xsd:element>
    <xsd:element name="ed854238-9d58-499f-ae06-38dac85ac9dbDispName" ma:index="24" nillable="true" ma:displayName="Location: Name" ma:internalName="DispNam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80c2018-33b3-43e4-bc99-753644eb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3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9275-36ea-4516-a203-c36dee64bf0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394dd666-1cc5-4c4e-b39c-306770926bb6}" ma:internalName="TaxCatchAll" ma:showField="CatchAllData" ma:web="b9429275-36ea-4516-a203-c36dee64b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FED4F-0B8C-4B01-B7F6-F4D7BB32113F}">
  <ds:schemaRefs>
    <ds:schemaRef ds:uri="http://schemas.microsoft.com/office/2006/metadata/properties"/>
    <ds:schemaRef ds:uri="http://schemas.microsoft.com/office/infopath/2007/PartnerControls"/>
    <ds:schemaRef ds:uri="3e9090f6-0245-48e3-bd19-46cc0b4d31f0"/>
  </ds:schemaRefs>
</ds:datastoreItem>
</file>

<file path=customXml/itemProps2.xml><?xml version="1.0" encoding="utf-8"?>
<ds:datastoreItem xmlns:ds="http://schemas.openxmlformats.org/officeDocument/2006/customXml" ds:itemID="{EF798A7D-CB95-486D-9F75-D56B12ED9FF6}"/>
</file>

<file path=customXml/itemProps3.xml><?xml version="1.0" encoding="utf-8"?>
<ds:datastoreItem xmlns:ds="http://schemas.openxmlformats.org/officeDocument/2006/customXml" ds:itemID="{7C718EE5-3C71-47F7-99B8-4C79DE34F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FAIRHALL, Brad</dc:creator>
  <cp:keywords/>
  <dc:description/>
  <cp:lastModifiedBy>BENTLEY, Lisa</cp:lastModifiedBy>
  <cp:revision>3</cp:revision>
  <dcterms:created xsi:type="dcterms:W3CDTF">2022-05-19T01:43:00Z</dcterms:created>
  <dcterms:modified xsi:type="dcterms:W3CDTF">2022-05-19T02:06:00Z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0x0101008E010776E8232249ADE677A3FBBC16BD</vt:lpwstr>
  </property>
</Properties>
</file>